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62BE" w14:textId="5B1962A2" w:rsidR="009E2A46" w:rsidRPr="00885B66" w:rsidRDefault="0000772A">
      <w:pPr>
        <w:rPr>
          <w:b/>
          <w:bCs/>
        </w:rPr>
      </w:pPr>
      <w:r>
        <w:rPr>
          <w:sz w:val="36"/>
          <w:szCs w:val="36"/>
        </w:rPr>
        <w:t>COVID – 19 Reopening – Inspection</w:t>
      </w:r>
      <w:r w:rsidR="00E8147B">
        <w:rPr>
          <w:sz w:val="36"/>
          <w:szCs w:val="36"/>
        </w:rPr>
        <w:t xml:space="preserve"> Checklist</w:t>
      </w:r>
    </w:p>
    <w:p w14:paraId="252F85C4" w14:textId="7B61DF03" w:rsidR="00E8147B" w:rsidRPr="00E8147B" w:rsidRDefault="00E8147B" w:rsidP="00E8147B">
      <w:pPr>
        <w:rPr>
          <w:i/>
          <w:iCs/>
        </w:rPr>
      </w:pPr>
      <w:r w:rsidRPr="00E8147B">
        <w:rPr>
          <w:i/>
          <w:iCs/>
        </w:rPr>
        <w:t xml:space="preserve">This checklist </w:t>
      </w:r>
      <w:r>
        <w:rPr>
          <w:i/>
          <w:iCs/>
        </w:rPr>
        <w:t xml:space="preserve">is designed to be </w:t>
      </w:r>
      <w:r w:rsidRPr="00E8147B">
        <w:rPr>
          <w:i/>
          <w:iCs/>
        </w:rPr>
        <w:t xml:space="preserve">a guide for a self-inspection in preparation of transitioning employees back into the workforce, as COVID-19 related restrictions are lifted.  </w:t>
      </w:r>
    </w:p>
    <w:p w14:paraId="3FEC7B0B" w14:textId="77777777" w:rsidR="00885B66" w:rsidRDefault="00885B66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85B66" w14:paraId="647FBCB2" w14:textId="77777777" w:rsidTr="0000772A">
        <w:trPr>
          <w:trHeight w:val="432"/>
        </w:trPr>
        <w:tc>
          <w:tcPr>
            <w:tcW w:w="5395" w:type="dxa"/>
            <w:vAlign w:val="bottom"/>
          </w:tcPr>
          <w:p w14:paraId="49275CC5" w14:textId="0D2A45DE" w:rsidR="00885B66" w:rsidRDefault="004342B8" w:rsidP="0000772A">
            <w:r>
              <w:t>Name:</w:t>
            </w:r>
          </w:p>
        </w:tc>
        <w:tc>
          <w:tcPr>
            <w:tcW w:w="5395" w:type="dxa"/>
            <w:vAlign w:val="bottom"/>
          </w:tcPr>
          <w:p w14:paraId="061EBE86" w14:textId="269C6FCD" w:rsidR="00885B66" w:rsidRDefault="00885B66" w:rsidP="0000772A">
            <w:r>
              <w:t>Location/Department Division:</w:t>
            </w:r>
          </w:p>
        </w:tc>
      </w:tr>
      <w:tr w:rsidR="00885B66" w14:paraId="703E8322" w14:textId="77777777" w:rsidTr="0000772A">
        <w:trPr>
          <w:trHeight w:val="432"/>
        </w:trPr>
        <w:tc>
          <w:tcPr>
            <w:tcW w:w="5395" w:type="dxa"/>
            <w:vAlign w:val="bottom"/>
          </w:tcPr>
          <w:p w14:paraId="1376E457" w14:textId="179B8138" w:rsidR="00885B66" w:rsidRDefault="0000772A" w:rsidP="0000772A">
            <w:r>
              <w:t>Conducted by:</w:t>
            </w:r>
          </w:p>
        </w:tc>
        <w:tc>
          <w:tcPr>
            <w:tcW w:w="5395" w:type="dxa"/>
            <w:vAlign w:val="bottom"/>
          </w:tcPr>
          <w:p w14:paraId="532291C1" w14:textId="66D8BA74" w:rsidR="00885B66" w:rsidRDefault="00885B66" w:rsidP="0000772A">
            <w:r>
              <w:t>Date Completed:</w:t>
            </w:r>
          </w:p>
        </w:tc>
      </w:tr>
    </w:tbl>
    <w:p w14:paraId="5D95F2E8" w14:textId="77777777" w:rsidR="009E2A46" w:rsidRDefault="009E2A46"/>
    <w:tbl>
      <w:tblPr>
        <w:tblStyle w:val="TableGrid"/>
        <w:tblW w:w="506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"/>
        <w:gridCol w:w="6856"/>
        <w:gridCol w:w="9"/>
        <w:gridCol w:w="807"/>
        <w:gridCol w:w="9"/>
        <w:gridCol w:w="807"/>
        <w:gridCol w:w="9"/>
        <w:gridCol w:w="809"/>
        <w:gridCol w:w="9"/>
        <w:gridCol w:w="807"/>
        <w:gridCol w:w="9"/>
      </w:tblGrid>
      <w:tr w:rsidR="00142339" w:rsidRPr="004E2D38" w14:paraId="06014A89" w14:textId="27F42452" w:rsidTr="00043B6A">
        <w:trPr>
          <w:cantSplit/>
          <w:trHeight w:val="360"/>
          <w:tblHeader/>
        </w:trPr>
        <w:tc>
          <w:tcPr>
            <w:tcW w:w="3507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0EAE3AD" w14:textId="33F5B5DD" w:rsidR="00142339" w:rsidRPr="004E2D38" w:rsidRDefault="00942C31" w:rsidP="00942C31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Protocols</w:t>
            </w:r>
          </w:p>
        </w:tc>
        <w:tc>
          <w:tcPr>
            <w:tcW w:w="37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D3BE4" w14:textId="0FFE315D" w:rsidR="00142339" w:rsidRPr="004E2D38" w:rsidRDefault="00942C31" w:rsidP="00C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ABSENT</w:t>
            </w:r>
          </w:p>
        </w:tc>
        <w:tc>
          <w:tcPr>
            <w:tcW w:w="37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AFEB0" w14:textId="3CBF6861" w:rsidR="00142339" w:rsidRPr="004E2D38" w:rsidRDefault="00942C31" w:rsidP="00C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NEEDS WORK</w:t>
            </w: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96B2C" w14:textId="64BB71D5" w:rsidR="00142339" w:rsidRPr="004E2D38" w:rsidRDefault="00942C31" w:rsidP="00C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OKAY</w:t>
            </w:r>
          </w:p>
        </w:tc>
        <w:tc>
          <w:tcPr>
            <w:tcW w:w="37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222891" w14:textId="337E8009" w:rsidR="00142339" w:rsidRPr="004E2D38" w:rsidRDefault="00142339" w:rsidP="00C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</w:tr>
      <w:tr w:rsidR="00896774" w:rsidRPr="00CE50F6" w14:paraId="42DB0ABA" w14:textId="257B2728" w:rsidTr="00043B6A">
        <w:trPr>
          <w:cantSplit/>
          <w:trHeight w:val="107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14:paraId="0099F344" w14:textId="70D3B665" w:rsidR="00896774" w:rsidRDefault="00896774" w:rsidP="00BD6DEE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cOMMUNICATION</w:t>
            </w:r>
          </w:p>
        </w:tc>
      </w:tr>
      <w:tr w:rsidR="00896774" w:rsidRPr="007A49AB" w14:paraId="4B65D834" w14:textId="2D1620FD" w:rsidTr="00043B6A">
        <w:trPr>
          <w:cantSplit/>
          <w:trHeight w:val="288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4FC66F9" w14:textId="575B95A4" w:rsidR="00896774" w:rsidRPr="007A49AB" w:rsidRDefault="00896774" w:rsidP="00613BCA">
            <w:pPr>
              <w:rPr>
                <w:b/>
                <w:bCs/>
                <w:sz w:val="20"/>
                <w:szCs w:val="20"/>
              </w:rPr>
            </w:pPr>
            <w:r w:rsidRPr="007A49AB">
              <w:rPr>
                <w:b/>
                <w:bCs/>
                <w:sz w:val="20"/>
                <w:szCs w:val="20"/>
              </w:rPr>
              <w:t>Employee Communications</w:t>
            </w:r>
          </w:p>
        </w:tc>
      </w:tr>
      <w:tr w:rsidR="00C67E8D" w:rsidRPr="00CE50F6" w14:paraId="41567D03" w14:textId="2207345D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83756C3" w14:textId="3911A58D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2E0864D6" w14:textId="07922D79" w:rsidR="00C67E8D" w:rsidRPr="00ED465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are posted at entries stating entry requirements and restrictions.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3113219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5BBA01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59F9058B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0970A41D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1CE612DC" w14:textId="41549539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2E06BBED" w14:textId="7508E2C5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536432C9" w14:textId="55161041" w:rsidR="00C67E8D" w:rsidRPr="00ED465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are posted reminding employees of expected behaviors, i.e.</w:t>
            </w:r>
            <w:r w:rsidR="00450B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social distancing, hand hygiene, cough</w:t>
            </w:r>
            <w:r w:rsidR="00450B46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and sneezing protocols, safe work practices, </w:t>
            </w:r>
            <w:r w:rsidR="00450B46">
              <w:rPr>
                <w:sz w:val="20"/>
                <w:szCs w:val="20"/>
              </w:rPr>
              <w:t>PPE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5FD31FE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D73C979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7E04E58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64ED7762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1A8DA433" w14:textId="12330104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449572A6" w14:textId="55F26B25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345C2E8F" w14:textId="3BCDF55E" w:rsidR="00C67E8D" w:rsidRDefault="003B7D80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 – 19 </w:t>
            </w:r>
            <w:r w:rsidR="003C6E5B">
              <w:rPr>
                <w:sz w:val="20"/>
                <w:szCs w:val="20"/>
              </w:rPr>
              <w:t xml:space="preserve">Prevention Plan </w:t>
            </w:r>
            <w:r w:rsidR="00C67E8D">
              <w:rPr>
                <w:sz w:val="20"/>
                <w:szCs w:val="20"/>
              </w:rPr>
              <w:t>is available to employees upon request or is digitally posted in an employee accessible location.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F72FF23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09B2BDBB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29256482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9BAA941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122FA9C9" w14:textId="18FC024D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30FF44D" w14:textId="50053E96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461C306C" w14:textId="4599B6DD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applicable </w:t>
            </w:r>
            <w:r w:rsidR="003C6E5B">
              <w:rPr>
                <w:sz w:val="20"/>
                <w:szCs w:val="20"/>
              </w:rPr>
              <w:t>Cal/</w:t>
            </w:r>
            <w:r>
              <w:rPr>
                <w:sz w:val="20"/>
                <w:szCs w:val="20"/>
              </w:rPr>
              <w:t xml:space="preserve">OSHA compliance plans </w:t>
            </w:r>
            <w:r w:rsidR="00450B46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 xml:space="preserve">available to employees upon request or </w:t>
            </w:r>
            <w:r w:rsidR="00450B46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digitally posted in an employee accessible location.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27A8237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0E24FCB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51C1A74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16F0F5BA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896774" w:rsidRPr="007A49AB" w14:paraId="40A62817" w14:textId="350FAB6D" w:rsidTr="00043B6A">
        <w:trPr>
          <w:cantSplit/>
          <w:trHeight w:val="288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53039AF" w14:textId="2861D34D" w:rsidR="00896774" w:rsidRPr="007A49AB" w:rsidRDefault="00896774" w:rsidP="00613BCA">
            <w:pPr>
              <w:rPr>
                <w:b/>
                <w:bCs/>
                <w:sz w:val="20"/>
                <w:szCs w:val="20"/>
              </w:rPr>
            </w:pPr>
            <w:r w:rsidRPr="007A49AB">
              <w:rPr>
                <w:b/>
                <w:bCs/>
                <w:sz w:val="20"/>
                <w:szCs w:val="20"/>
              </w:rPr>
              <w:t>Consumer/Public Communications</w:t>
            </w:r>
          </w:p>
        </w:tc>
      </w:tr>
      <w:tr w:rsidR="00C67E8D" w:rsidRPr="00CE50F6" w14:paraId="7B5E9A3A" w14:textId="1621B42F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15D1B931" w14:textId="4C4D2A49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29BA37A9" w14:textId="4F6CB385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posted at entries stating entry requirements and restrictions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7F62456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68DCDE31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7C44EDAA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60A3F19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6254BA31" w14:textId="72237B9E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1A59B0EC" w14:textId="475C150D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DE51B82" w14:textId="03899AED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posted within the facilities reminding consumers of expected behaviors once they enter, i.e.</w:t>
            </w:r>
            <w:r w:rsidR="00450B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social distancing, hand hygiene, cough</w:t>
            </w:r>
            <w:r w:rsidR="00450B46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and sneezing protocols, </w:t>
            </w:r>
            <w:r w:rsidR="00450B46">
              <w:rPr>
                <w:sz w:val="20"/>
                <w:szCs w:val="20"/>
              </w:rPr>
              <w:t>PPE</w:t>
            </w:r>
            <w:r>
              <w:rPr>
                <w:sz w:val="20"/>
                <w:szCs w:val="20"/>
              </w:rPr>
              <w:t>, etc</w:t>
            </w:r>
            <w:r w:rsidR="00450B46">
              <w:rPr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95D38E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685C8DF8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1BF48B2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64A5EEC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1F7FF75B" w14:textId="7E286DC1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5A7F0694" w14:textId="32A06818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562C54EC" w14:textId="510929A6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Lines delineated on the ground in queuing locations to provide social distancing guidance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DC2D6EB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36BBF8DF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447547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70078623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5F530CB4" w14:textId="6BB1E4D3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0DA444BD" w14:textId="4EC6286D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1EDAEAB" w14:textId="678F9DF1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of travel signs in narrow access areas to enhance social distancing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652D62C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2EF4028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5F7D2721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2A45316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00772A" w:rsidRPr="00CE50F6" w14:paraId="515BC992" w14:textId="77777777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0A7AAFAB" w14:textId="2309B0EC" w:rsidR="0000772A" w:rsidRPr="0000772A" w:rsidRDefault="0000772A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1FB1EB78" w14:textId="7B59CBD5" w:rsidR="0000772A" w:rsidRDefault="0000772A" w:rsidP="0000772A">
            <w:pPr>
              <w:rPr>
                <w:sz w:val="20"/>
                <w:szCs w:val="20"/>
              </w:rPr>
            </w:pPr>
            <w:r w:rsidRPr="0000772A">
              <w:rPr>
                <w:sz w:val="20"/>
                <w:szCs w:val="20"/>
              </w:rPr>
              <w:t xml:space="preserve">Where feasible, employees who have frequent interaction with the public </w:t>
            </w:r>
            <w:r>
              <w:rPr>
                <w:sz w:val="20"/>
                <w:szCs w:val="20"/>
              </w:rPr>
              <w:t xml:space="preserve">are </w:t>
            </w:r>
            <w:r w:rsidRPr="0000772A">
              <w:rPr>
                <w:sz w:val="20"/>
                <w:szCs w:val="20"/>
              </w:rPr>
              <w:t>protected with engineering controls such as Plexiglas screens, tables or other physical barriers, or spatial barriers of at least six feet.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7A324DA" w14:textId="77777777" w:rsidR="0000772A" w:rsidRPr="00CE50F6" w:rsidRDefault="0000772A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8C972E6" w14:textId="77777777" w:rsidR="0000772A" w:rsidRPr="00CE50F6" w:rsidRDefault="0000772A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0349A1C6" w14:textId="77777777" w:rsidR="0000772A" w:rsidRPr="00CE50F6" w:rsidRDefault="0000772A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3ACFCF98" w14:textId="77777777" w:rsidR="0000772A" w:rsidRPr="00CE50F6" w:rsidRDefault="0000772A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30124A48" w14:textId="15144424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E9690DD" w14:textId="45D5009C" w:rsidR="00C67E8D" w:rsidRPr="0000772A" w:rsidRDefault="00C67E8D" w:rsidP="00043B6A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14062CC" w14:textId="75579AC3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Organization’s service status posted on its website, i.e.</w:t>
            </w:r>
            <w:r w:rsidR="00450B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hours of operation, special conditions for vulnerable populations, entry restrictions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E1B175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005AEF06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B90762C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586E80D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896774" w:rsidRPr="00CE50F6" w14:paraId="3C8D5585" w14:textId="7D0F24C9" w:rsidTr="00043B6A">
        <w:trPr>
          <w:cantSplit/>
          <w:trHeight w:val="107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49033120" w14:textId="6C203A79" w:rsidR="00896774" w:rsidRDefault="00896774" w:rsidP="00B17B7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Infectious Disease Exposure Controls </w:t>
            </w:r>
          </w:p>
        </w:tc>
      </w:tr>
      <w:tr w:rsidR="00896774" w:rsidRPr="0062690D" w14:paraId="206D0054" w14:textId="1A806714" w:rsidTr="00043B6A">
        <w:trPr>
          <w:cantSplit/>
          <w:trHeight w:val="288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AFF248F" w14:textId="038B2290" w:rsidR="00896774" w:rsidRPr="0062690D" w:rsidRDefault="00896774" w:rsidP="00B17B73">
            <w:pPr>
              <w:rPr>
                <w:b/>
                <w:bCs/>
                <w:sz w:val="20"/>
                <w:szCs w:val="20"/>
              </w:rPr>
            </w:pPr>
            <w:r w:rsidRPr="0062690D">
              <w:rPr>
                <w:b/>
                <w:bCs/>
                <w:sz w:val="20"/>
                <w:szCs w:val="20"/>
              </w:rPr>
              <w:t>Engineering Controls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C67E8D" w:rsidRPr="00CE50F6" w14:paraId="57BB4E4D" w14:textId="392A67ED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10B252B0" w14:textId="3524C739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241AD7F2" w14:textId="3F4B33AD" w:rsidR="00C67E8D" w:rsidRPr="00ED465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feasible engineering controls in place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4DB269F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665751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0D497FDF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AE1D11B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023C03C6" w14:textId="341FC2C4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4A13B0E0" w14:textId="5EFBA1C2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07555F7" w14:textId="430A3C14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engineering control inspections and maintenance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06FE7B4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4018D1B6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13320D7C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17F976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896774" w:rsidRPr="0062690D" w14:paraId="2448C0AD" w14:textId="56DFCE63" w:rsidTr="00043B6A">
        <w:trPr>
          <w:cantSplit/>
          <w:trHeight w:val="288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62FD9DDB" w14:textId="1A6BB1F2" w:rsidR="00896774" w:rsidRPr="0062690D" w:rsidRDefault="00896774" w:rsidP="00613BCA">
            <w:pPr>
              <w:rPr>
                <w:b/>
                <w:bCs/>
                <w:sz w:val="20"/>
                <w:szCs w:val="20"/>
              </w:rPr>
            </w:pPr>
            <w:r w:rsidRPr="0062690D">
              <w:rPr>
                <w:b/>
                <w:bCs/>
                <w:sz w:val="20"/>
                <w:szCs w:val="20"/>
              </w:rPr>
              <w:t>Administrative Controls</w:t>
            </w:r>
          </w:p>
        </w:tc>
      </w:tr>
      <w:tr w:rsidR="00C67E8D" w:rsidRPr="00CE50F6" w14:paraId="6A6DBE43" w14:textId="369DB7FF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572A5B04" w14:textId="156CFACF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EF27E19" w14:textId="5F35171C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Protocols in place for sending sick </w:t>
            </w:r>
            <w:r w:rsidR="00C621EA">
              <w:rPr>
                <w:sz w:val="20"/>
                <w:szCs w:val="20"/>
              </w:rPr>
              <w:t>employees’</w:t>
            </w:r>
            <w:r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7DC502A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29FC0EE3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5D3D3B6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BA87884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5279FDBF" w14:textId="692459B6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1A462F9" w14:textId="10DE88E1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A75DA79" w14:textId="674AEF90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Non-essential travel </w:t>
            </w:r>
            <w:r w:rsidR="00C509D3">
              <w:rPr>
                <w:sz w:val="20"/>
                <w:szCs w:val="20"/>
              </w:rPr>
              <w:t xml:space="preserve">restrictions </w:t>
            </w:r>
            <w:r w:rsidR="006C3098">
              <w:rPr>
                <w:sz w:val="20"/>
                <w:szCs w:val="20"/>
              </w:rPr>
              <w:t>updates provided to employees as they change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64B4301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6056385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6BBECD8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32927B54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3E872BCA" w14:textId="389201AF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DEEF087" w14:textId="4435E3A0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528E69AC" w14:textId="7314A089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virtual communications and meetings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C78C46D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00145461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26F5CB5B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4576AF1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438A40DC" w14:textId="38AE8D9F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2A54280A" w14:textId="626A3A54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990C6F2" w14:textId="795F9769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 distance between workstations for essential employees required to come to the workplace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22D1E69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7F47C95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595C432F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1B7BE016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33E7AC63" w14:textId="7A505EDE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497A43BB" w14:textId="204C941D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2853186" w14:textId="3DF59A5C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the number of employees assigned to an area or vehicle (i.e.</w:t>
            </w:r>
            <w:r w:rsidR="00450B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maintenance and public work crews)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AC9E4A7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2E55C7FD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2BE60F5A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7854514C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C67E8D" w:rsidRPr="00CE50F6" w14:paraId="1DA7C520" w14:textId="55BFCB1E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9E42E65" w14:textId="34DAF015" w:rsidR="00C67E8D" w:rsidRPr="0000772A" w:rsidRDefault="00C67E8D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1D4CB8E" w14:textId="122F824F" w:rsidR="00C67E8D" w:rsidRDefault="00C67E8D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seating in break areas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B91F1E3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8F94922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0E779BFC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39E01724" w14:textId="77777777" w:rsidR="00C67E8D" w:rsidRPr="00CE50F6" w:rsidRDefault="00C67E8D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1512735D" w14:textId="64E4805D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843AB84" w14:textId="4E391D69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717E0DE" w14:textId="43A6BDBB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remote work protocols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A1A4611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CFED478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7729AE59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D1D6A25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1D41A441" w14:textId="5C7DD8AB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2D5E7146" w14:textId="002A1F70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1B2C5822" w14:textId="45853A9C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Vaccinations, when available, made available to employees with high</w:t>
            </w:r>
            <w:r w:rsidR="001423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risk exposure positions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F3DD1B1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1A235C3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56F55819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62EE000B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2690D" w14:paraId="70CD90AE" w14:textId="5F84A3B9" w:rsidTr="00043B6A">
        <w:trPr>
          <w:cantSplit/>
          <w:trHeight w:val="288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7E89E877" w14:textId="031C2FFB" w:rsidR="003D2B5B" w:rsidRDefault="003D2B5B" w:rsidP="003D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Safe Work Practice</w:t>
            </w:r>
            <w:r w:rsidRPr="0062690D">
              <w:rPr>
                <w:b/>
                <w:bCs/>
                <w:sz w:val="20"/>
                <w:szCs w:val="20"/>
              </w:rPr>
              <w:t xml:space="preserve"> Controls</w:t>
            </w:r>
          </w:p>
        </w:tc>
      </w:tr>
      <w:tr w:rsidR="003D2B5B" w:rsidRPr="00CE50F6" w14:paraId="7DD6F207" w14:textId="0BA80B87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5D1A716" w14:textId="6726CD0F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4703D63A" w14:textId="4A2034E8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 of personal hygiene, i.e., provision of tissues, trash cans, hand soap, hand sanitizer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93E43BC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64B98D3D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D6C466F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8CEFBE8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7C399035" w14:textId="47A2C028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607ADEF" w14:textId="5695A578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5FA888AF" w14:textId="07777F51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sanitizer dispensers provided at entries, service areas, copy machines and other shared-use equipment, outside restrooms, etc.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F9079C3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449C2606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56B9B82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9B2A64F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1DAD2A2D" w14:textId="65A2EE21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0268FE4B" w14:textId="45F9D172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10F0347A" w14:textId="2326471E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washing signs posted in restrooms and breakrooms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A19ECC2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F9CC768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C9AE76E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36964221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4BDB1600" w14:textId="3D73B32C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A6C0DF5" w14:textId="1BE4EEFD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1E606499" w14:textId="0E831894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sanitizing reminders posted in service vehicles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2FFF282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60075684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148EF85F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1AAD67E4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47C6812F" w14:textId="0977658E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92CC3F1" w14:textId="38B11AF4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565DCFF" w14:textId="3835838F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cleaning procedures/services arranged for decontamination of areas known to have been touched by persons with confirmed infectious disease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FDC2AC8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C621625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79F85AF6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47FB641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2690D" w14:paraId="248525A8" w14:textId="727FA1E5" w:rsidTr="00043B6A">
        <w:trPr>
          <w:cantSplit/>
          <w:trHeight w:val="288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2572B692" w14:textId="27698E6E" w:rsidR="003D2B5B" w:rsidRDefault="003D2B5B" w:rsidP="003D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 Protective Equipment</w:t>
            </w:r>
            <w:r w:rsidRPr="006269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(PPE) </w:t>
            </w:r>
            <w:r w:rsidRPr="0062690D">
              <w:rPr>
                <w:b/>
                <w:bCs/>
                <w:sz w:val="20"/>
                <w:szCs w:val="20"/>
              </w:rPr>
              <w:t>Controls</w:t>
            </w:r>
          </w:p>
        </w:tc>
      </w:tr>
      <w:tr w:rsidR="003D2B5B" w:rsidRPr="00CE50F6" w14:paraId="3C70908B" w14:textId="3CD2B390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54DBCD6" w14:textId="486DE857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25238C9" w14:textId="3EF3E611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 appropriate to the hazard exposure readily available to employees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7591EBC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20FCD01E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1DC8D3C3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7A3F81D0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31A2430F" w14:textId="7163F4FB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43DEDF7B" w14:textId="3B772AC5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583053D7" w14:textId="52A97D05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Employees aware of how to obtain </w:t>
            </w:r>
            <w:r w:rsidR="007B4CC9">
              <w:rPr>
                <w:sz w:val="20"/>
                <w:szCs w:val="20"/>
              </w:rPr>
              <w:t xml:space="preserve">replacement </w:t>
            </w:r>
            <w:r>
              <w:rPr>
                <w:sz w:val="20"/>
                <w:szCs w:val="20"/>
              </w:rPr>
              <w:t>of damaged/used PPE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10D36FF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0303B0F4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FA82BBA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2BA3B18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72BC3408" w14:textId="5D79CF93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5A6BF226" w14:textId="65B0A73F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A3578DD" w14:textId="4B2E00B5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Provisions made for proper storage of multi-use PPE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06AA70D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469785CC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DF4C87D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51D1BA9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2405CAE6" w14:textId="68BAF364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28F25DA9" w14:textId="450D1A5E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4FFF09C" w14:textId="3EDDFC11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Provisions available for sanitizing multi-use PPE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9BE972C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3FBA2842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3A74B6F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67182ABA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72CB060E" w14:textId="252C14E3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96C6525" w14:textId="22B95301" w:rsidR="003D2B5B" w:rsidRPr="0000772A" w:rsidRDefault="003D2B5B" w:rsidP="0000772A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E711D1A" w14:textId="651BE99F" w:rsidR="003D2B5B" w:rsidRDefault="003D2B5B" w:rsidP="0000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instructed not to share PPE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4762E10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64D1D774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1436D75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72A10D9" w14:textId="77777777" w:rsidR="003D2B5B" w:rsidRPr="00CE50F6" w:rsidRDefault="003D2B5B" w:rsidP="0000772A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2690D" w14:paraId="0ADCB204" w14:textId="13D51A25" w:rsidTr="00043B6A">
        <w:trPr>
          <w:cantSplit/>
          <w:trHeight w:val="288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7158B197" w14:textId="5E2ACDEE" w:rsidR="003D2B5B" w:rsidRDefault="003D2B5B" w:rsidP="003D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Active Screening Controls</w:t>
            </w:r>
          </w:p>
        </w:tc>
      </w:tr>
      <w:tr w:rsidR="003D2B5B" w:rsidRPr="006179AD" w14:paraId="2F9C113B" w14:textId="72A1D7E0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780B024" w14:textId="31E1A034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1EF258CE" w14:textId="7ADE639B" w:rsidR="003D2B5B" w:rsidRPr="006179AD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number of non-touch thermometers available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24596E6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2BADB02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570B351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5E3AD7A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179AD" w14:paraId="51271DFD" w14:textId="4A82F9F6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1826F780" w14:textId="37CBA8EF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29F1AEE3" w14:textId="40A03243" w:rsidR="003D2B5B" w:rsidRPr="006179AD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charged with screening trained in screening procedures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7CEF596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9B03B09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18D57CF2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1DBC27A3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179AD" w14:paraId="2366D0F3" w14:textId="564966D0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C23D395" w14:textId="1B1C9B97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3578F018" w14:textId="228DB065" w:rsidR="003D2B5B" w:rsidRPr="006179AD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Screening personnel provided with appropriate PPE 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B9F9105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338B77E2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0882F7BD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8FA2828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179AD" w14:paraId="1A44B8A5" w14:textId="0FE36445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4B11B541" w14:textId="33899D43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163590E" w14:textId="5CB4FF0B" w:rsidR="003D2B5B" w:rsidRPr="006179AD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distancing maintained during screening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B5C2AC7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9E1F313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C3722F3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18A6776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179AD" w14:paraId="581895EA" w14:textId="55AFDCC7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05ACD2D7" w14:textId="4162F007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522126AB" w14:textId="26A92682" w:rsidR="003D2B5B" w:rsidRPr="006179AD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Workplace entry times staggered to reduce congestion during screening process 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CD56089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00E54FA0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782C5728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6B5A000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179AD" w14:paraId="3F896A81" w14:textId="10C7F473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5EEE9E24" w14:textId="0B9F0A79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335B5B5" w14:textId="42371714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questionnaire follows CDC and </w:t>
            </w:r>
            <w:r w:rsidRPr="007B4CC9">
              <w:rPr>
                <w:sz w:val="20"/>
                <w:szCs w:val="20"/>
              </w:rPr>
              <w:t>Equal Employment Opportunity Commission</w:t>
            </w:r>
            <w:r>
              <w:rPr>
                <w:sz w:val="20"/>
                <w:szCs w:val="20"/>
              </w:rPr>
              <w:t xml:space="preserve"> (EEOC) guidelines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E888013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5A62FE6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2388509D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61F98816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179AD" w14:paraId="5FC3A7CC" w14:textId="3CE6A98E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A36830F" w14:textId="6F6173D5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184EC652" w14:textId="1AAF73B8" w:rsidR="003D2B5B" w:rsidRPr="006179AD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EEOC ruling regarding active health screening provided to employees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11AF29C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21DA14B4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659028D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78038632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6179AD" w14:paraId="2A06369E" w14:textId="3A4035A8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2A56252B" w14:textId="08A5B535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45DCAEF9" w14:textId="57F7127D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screening records maintained in accordance with HIPPA regulations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E3163D1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07CF2F35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252B568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C5753DC" w14:textId="77777777" w:rsidR="003D2B5B" w:rsidRPr="006179AD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72B6ACFF" w14:textId="4D38F2FE" w:rsidTr="00043B6A">
        <w:trPr>
          <w:cantSplit/>
          <w:trHeight w:val="107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14:paraId="1CCECC79" w14:textId="00151F06" w:rsidR="003D2B5B" w:rsidRDefault="003D2B5B" w:rsidP="003D2B5B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Infectious Disease Exposure Control training  </w:t>
            </w:r>
          </w:p>
        </w:tc>
      </w:tr>
      <w:tr w:rsidR="003D2B5B" w:rsidRPr="00CE50F6" w14:paraId="2F5650B2" w14:textId="4486FB66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4D199193" w14:textId="797E08EF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68F285C6" w14:textId="3C8D2B8A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infectious disease control training provided to all employees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B02E0CF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87743E8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12750BE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09674FC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7836BD95" w14:textId="5B6D137C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195EF2BB" w14:textId="7329AC36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6A92A475" w14:textId="39CE80DB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applicable </w:t>
            </w:r>
            <w:r w:rsidR="00747D58">
              <w:rPr>
                <w:sz w:val="20"/>
                <w:szCs w:val="20"/>
              </w:rPr>
              <w:t>Cal/</w:t>
            </w:r>
            <w:r>
              <w:rPr>
                <w:sz w:val="20"/>
                <w:szCs w:val="20"/>
              </w:rPr>
              <w:t>OSHA standards training provided to affected employees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6BC0302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45CC29C9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46BD77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029155B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2063276F" w14:textId="1C92F766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E0EB9DB" w14:textId="20C08955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15FD08DD" w14:textId="46902C31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inspection and maintenance procedures training for personnel charged with maintenance of engineering controls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749B4F8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1B047CA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72BEE4F9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D29BF53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648014CD" w14:textId="559DB7A1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A01A0A5" w14:textId="15614325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2B7CDABF" w14:textId="23FC391B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digital fraud and cyber-attack training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FE08E2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4BA53E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B3251F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1E9A8B95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2D7ACB7E" w14:textId="29E9A2C8" w:rsidTr="00043B6A">
        <w:trPr>
          <w:cantSplit/>
          <w:trHeight w:val="107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14:paraId="0316895C" w14:textId="4F8B9503" w:rsidR="003D2B5B" w:rsidRDefault="003D2B5B" w:rsidP="003D2B5B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Information technology and cyber security</w:t>
            </w:r>
          </w:p>
        </w:tc>
      </w:tr>
      <w:tr w:rsidR="003D2B5B" w:rsidRPr="00CE50F6" w14:paraId="778239A4" w14:textId="12A03277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2C52292" w14:textId="5FD77196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4FCBFF00" w14:textId="1E278A77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backed up daily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002732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9094676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53E0F0C9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6BCC0DF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66540F2A" w14:textId="323FF9FD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2719711" w14:textId="672D5E1B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3ABD400B" w14:textId="548A2ED3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copy of back up maintained in off-line secure location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94EA9CF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29D52C70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72168E0A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B66239E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0674ECF7" w14:textId="787153E3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228AC24A" w14:textId="5280311C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404C43FC" w14:textId="4DEF8263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employees equipped with organization-owned equipment, i.e., computers, laptops, tablets, phone, monitors, and printers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8D8EFB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457213A8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468E062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EAC3675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6B91FD63" w14:textId="1FB1FE3F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2A8911E0" w14:textId="1AE8F051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677F9178" w14:textId="7869FEC8" w:rsidR="003D2B5B" w:rsidRDefault="003D2B5B" w:rsidP="00942C3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34C8">
              <w:rPr>
                <w:sz w:val="20"/>
                <w:szCs w:val="20"/>
              </w:rPr>
              <w:t>Network infrastructure devices, wireless devices, and devices being used to remote into work environments are updated with the latest operating systems, software patches, and security configurations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23FC934B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2BAB70E6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B16FA6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0A738544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305F7177" w14:textId="0CCC3508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76DEB8B" w14:textId="7558118A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EF1F211" w14:textId="672F3523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users required to use VPN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2E01CF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AC4F333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10B2A48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111B37A5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7DDAB49E" w14:textId="5C327035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3B09ACD" w14:textId="4EA5CB3A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192F8164" w14:textId="0D927EEE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Multifactor authentication protocols in place for remote users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E83A7C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2BC85DF4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0C91941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16079519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2F024998" w14:textId="3BEF8C84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5939B8F" w14:textId="49723FB8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3AC3A2ED" w14:textId="28B2F990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system users required to use strong passwords</w:t>
            </w:r>
            <w:r w:rsidRPr="006E34C8">
              <w:rPr>
                <w:sz w:val="20"/>
                <w:szCs w:val="20"/>
              </w:rPr>
              <w:t>, i.e.</w:t>
            </w:r>
            <w:r>
              <w:rPr>
                <w:sz w:val="20"/>
                <w:szCs w:val="20"/>
              </w:rPr>
              <w:t>,</w:t>
            </w:r>
            <w:r w:rsidRPr="006E34C8">
              <w:rPr>
                <w:sz w:val="20"/>
                <w:szCs w:val="20"/>
              </w:rPr>
              <w:t xml:space="preserve"> must be at least </w:t>
            </w:r>
            <w:r w:rsidR="00CF29E6">
              <w:rPr>
                <w:sz w:val="20"/>
                <w:szCs w:val="20"/>
              </w:rPr>
              <w:t>8-</w:t>
            </w:r>
            <w:r w:rsidRPr="006E34C8">
              <w:rPr>
                <w:sz w:val="20"/>
                <w:szCs w:val="20"/>
              </w:rPr>
              <w:t>16 characters containing numbers, symbols, upper/lower case letters, and spaces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E4E402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B00F5A3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0EDC284A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6FEE72C6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45F74B37" w14:textId="29B6196E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F480128" w14:textId="3F0352E8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86161F5" w14:textId="5C4F76AE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system users required to change their passwords at least quarterly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AF7A263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291D742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9FDBAE1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9FA6268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47F2EAA2" w14:textId="259E1AA2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0FA2D37C" w14:textId="7D9058AE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7497F8D0" w14:textId="6F88CD4C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access log maintained and reviewed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5312952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4A0AD5A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1CB4321B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3D706D14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0BBD5DC5" w14:textId="1D1562E6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167C8307" w14:textId="25A71994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41BB69E7" w14:textId="6E38BF83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attack detection and incident response/recovery have been ramped up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DDA8BE6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435CD3F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2F0FC9C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87FC1BB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44002859" w14:textId="38381B45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8B70C64" w14:textId="168CFABD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51634905" w14:textId="1FB06C41" w:rsidR="003D2B5B" w:rsidRPr="00C25762" w:rsidRDefault="003D2B5B" w:rsidP="00942C31">
            <w:pPr>
              <w:rPr>
                <w:sz w:val="20"/>
                <w:szCs w:val="20"/>
              </w:rPr>
            </w:pPr>
            <w:r w:rsidRPr="007B4CC9">
              <w:rPr>
                <w:sz w:val="20"/>
                <w:szCs w:val="20"/>
              </w:rPr>
              <w:t>RDP prohibited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68F525D9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1FB9D84A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37AB5C49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B7AF4F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1DB85600" w14:textId="17148BD6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5E4126BB" w14:textId="397BF270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0477B39F" w14:textId="1EFE4D12" w:rsidR="003D2B5B" w:rsidRPr="007B4CC9" w:rsidRDefault="003D2B5B" w:rsidP="00942C31">
            <w:pPr>
              <w:rPr>
                <w:sz w:val="20"/>
                <w:szCs w:val="20"/>
              </w:rPr>
            </w:pPr>
            <w:r w:rsidRPr="007B4CC9">
              <w:rPr>
                <w:sz w:val="20"/>
                <w:szCs w:val="20"/>
              </w:rPr>
              <w:t>Addition of software to organization</w:t>
            </w:r>
            <w:r w:rsidR="00647F29">
              <w:rPr>
                <w:sz w:val="20"/>
                <w:szCs w:val="20"/>
              </w:rPr>
              <w:t>-owned</w:t>
            </w:r>
            <w:r w:rsidRPr="007B4CC9">
              <w:rPr>
                <w:sz w:val="20"/>
                <w:szCs w:val="20"/>
              </w:rPr>
              <w:t xml:space="preserve"> equipment restricted to IT personnel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F328C83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1456ECE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FB8C05B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0A455DFF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000840C8" w14:textId="2233BD88" w:rsidTr="00043B6A">
        <w:trPr>
          <w:cantSplit/>
          <w:trHeight w:val="107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14:paraId="35FABF3B" w14:textId="1BE38BF2" w:rsidR="003D2B5B" w:rsidRDefault="003D2B5B" w:rsidP="007B4CC9">
            <w:pPr>
              <w:spacing w:before="4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Recovery </w:t>
            </w:r>
          </w:p>
        </w:tc>
      </w:tr>
      <w:tr w:rsidR="003D2B5B" w:rsidRPr="00CE50F6" w14:paraId="3B06FDC2" w14:textId="6F871671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C700E87" w14:textId="3BBE5F1C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31EA19F3" w14:textId="3D13DB01" w:rsidR="003D2B5B" w:rsidRDefault="003B7D80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is </w:t>
            </w:r>
            <w:r w:rsidR="003D2B5B">
              <w:rPr>
                <w:sz w:val="20"/>
                <w:szCs w:val="20"/>
              </w:rPr>
              <w:t>designated to monitor changing conditions, CDC, and government mandates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CF24EFF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6CD970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827D444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C74EF5A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6A3EED2F" w14:textId="1D0F24BE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4B63415F" w14:textId="11539934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39CFB4C6" w14:textId="24C8F389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monitors impact of infectious disease outbreak on operations and budget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056F2E8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2B1AC76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0532003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690146B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6EB90D74" w14:textId="7102D56F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7651E3DD" w14:textId="4F29262C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3E9F9663" w14:textId="1EA38AEB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authorized to develop</w:t>
            </w:r>
            <w:r w:rsidR="006B5363">
              <w:rPr>
                <w:sz w:val="20"/>
                <w:szCs w:val="20"/>
              </w:rPr>
              <w:t>/modify</w:t>
            </w:r>
            <w:r>
              <w:rPr>
                <w:sz w:val="20"/>
                <w:szCs w:val="20"/>
              </w:rPr>
              <w:t xml:space="preserve"> return-to-workplace protocols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0B592C9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7110B93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3F5FB5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14C3064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184E50FA" w14:textId="18D57EEF" w:rsidTr="00043B6A">
        <w:trPr>
          <w:cantSplit/>
          <w:trHeight w:val="107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14:paraId="51734AD3" w14:textId="49EEFD7E" w:rsidR="003D2B5B" w:rsidRDefault="003D2B5B" w:rsidP="003D2B5B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Infectious Disease Exposure Control Record keeping </w:t>
            </w:r>
          </w:p>
        </w:tc>
      </w:tr>
      <w:tr w:rsidR="003D2B5B" w:rsidRPr="00CE50F6" w14:paraId="1D4243A2" w14:textId="4F0A5CBD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2277D163" w14:textId="535A02A9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69A878D6" w14:textId="134B90D4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documentation available in a central tracking/storage location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7F309A95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06A7351A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57ACDA5F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B94A190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50F5935F" w14:textId="70070885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66BBEF4D" w14:textId="3F24FA7E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52D854A2" w14:textId="54FFBE13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controls inspection documentation available in a central tracking/storage location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5033A7C3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68B7C6AB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6D4D7E5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58DED625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279AA6D8" w14:textId="77CA1EC8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19427C24" w14:textId="08AA793C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26A13304" w14:textId="722BCD6B" w:rsidR="003D2B5B" w:rsidRDefault="003D2B5B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controls maintenance documentation available in a central tracking/storage location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112EF44D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15EEB43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41745982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200BDA9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  <w:tr w:rsidR="003D2B5B" w:rsidRPr="00CE50F6" w14:paraId="62FB6828" w14:textId="01CD971F" w:rsidTr="00043B6A">
        <w:trPr>
          <w:gridAfter w:val="1"/>
          <w:wAfter w:w="4" w:type="pct"/>
          <w:cantSplit/>
          <w:trHeight w:val="288"/>
        </w:trPr>
        <w:tc>
          <w:tcPr>
            <w:tcW w:w="368" w:type="pct"/>
            <w:shd w:val="clear" w:color="auto" w:fill="auto"/>
          </w:tcPr>
          <w:p w14:paraId="3DDFDB4C" w14:textId="0EF9B4E3" w:rsidR="003D2B5B" w:rsidRPr="0000772A" w:rsidRDefault="003D2B5B" w:rsidP="00942C31">
            <w:pPr>
              <w:pStyle w:val="ListParagraph"/>
              <w:numPr>
                <w:ilvl w:val="0"/>
                <w:numId w:val="20"/>
              </w:numPr>
              <w:spacing w:after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35" w:type="pct"/>
            <w:shd w:val="clear" w:color="auto" w:fill="auto"/>
          </w:tcPr>
          <w:p w14:paraId="4FECB73E" w14:textId="7C4FA982" w:rsidR="003D2B5B" w:rsidRDefault="003B7D80" w:rsidP="00942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</w:t>
            </w:r>
            <w:r w:rsidR="003D2B5B">
              <w:rPr>
                <w:sz w:val="20"/>
                <w:szCs w:val="20"/>
              </w:rPr>
              <w:t>compliance inspection documentation available in central tracking/storage location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473EAE0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4AA7EB1C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14:paraId="26F36877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472B1F95" w14:textId="77777777" w:rsidR="003D2B5B" w:rsidRPr="00CE50F6" w:rsidRDefault="003D2B5B" w:rsidP="00942C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B8173D" w14:textId="7FD2E1C0" w:rsidR="00896774" w:rsidRDefault="00896774"/>
    <w:p w14:paraId="46EDA1D6" w14:textId="77777777" w:rsidR="00942C31" w:rsidRDefault="00942C31" w:rsidP="00942C31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942C31" w:rsidRPr="00CE50F6" w14:paraId="66A9D812" w14:textId="77777777" w:rsidTr="00A87EA1">
        <w:trPr>
          <w:cantSplit/>
          <w:trHeight w:val="107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14:paraId="2566752C" w14:textId="5618293D" w:rsidR="00942C31" w:rsidRDefault="00942C31" w:rsidP="00A87EA1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NOTES</w:t>
            </w:r>
          </w:p>
        </w:tc>
      </w:tr>
      <w:tr w:rsidR="00942C31" w:rsidRPr="00CE50F6" w14:paraId="42C0605F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5DACA199" w14:textId="38D0AD4D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354659ED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4D3CEC69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10E6EB05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54BDD024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034A9F63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05D2CE8D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5F84317B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5A7F44ED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41A0F648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6D6B1F69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5AE671B9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5714FACD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4FB46A1D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55A5AB96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54325B52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5D3EFB0F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5BC10134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2AE62FB5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4A4CC8D6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1658088D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6480DEB4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7EC19BBF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74A0DB73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12918B7C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2B832A01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5A0FCEF3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  <w:tr w:rsidR="00942C31" w:rsidRPr="00CE50F6" w14:paraId="2EBDE540" w14:textId="77777777" w:rsidTr="00942C31">
        <w:trPr>
          <w:cantSplit/>
          <w:trHeight w:val="432"/>
        </w:trPr>
        <w:tc>
          <w:tcPr>
            <w:tcW w:w="5000" w:type="pct"/>
            <w:shd w:val="clear" w:color="auto" w:fill="auto"/>
          </w:tcPr>
          <w:p w14:paraId="61EF2727" w14:textId="77777777" w:rsidR="00942C31" w:rsidRPr="00CE50F6" w:rsidRDefault="00942C31" w:rsidP="00942C31">
            <w:pPr>
              <w:rPr>
                <w:sz w:val="20"/>
                <w:szCs w:val="20"/>
              </w:rPr>
            </w:pPr>
          </w:p>
        </w:tc>
      </w:tr>
    </w:tbl>
    <w:p w14:paraId="40FB92E1" w14:textId="77777777" w:rsidR="00942C31" w:rsidRDefault="00942C31" w:rsidP="00942C31"/>
    <w:p w14:paraId="0B473CA1" w14:textId="77777777" w:rsidR="00942C31" w:rsidRDefault="00942C31"/>
    <w:sectPr w:rsidR="00942C31" w:rsidSect="0052684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3B99" w14:textId="77777777" w:rsidR="00D9440C" w:rsidRDefault="00D9440C" w:rsidP="0052684C">
      <w:pPr>
        <w:spacing w:line="240" w:lineRule="auto"/>
      </w:pPr>
      <w:r>
        <w:separator/>
      </w:r>
    </w:p>
  </w:endnote>
  <w:endnote w:type="continuationSeparator" w:id="0">
    <w:p w14:paraId="7D15FA01" w14:textId="77777777" w:rsidR="00D9440C" w:rsidRDefault="00D9440C" w:rsidP="00526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7D5727" w14:paraId="13797371" w14:textId="77777777" w:rsidTr="007B4CC9">
      <w:tc>
        <w:tcPr>
          <w:tcW w:w="5395" w:type="dxa"/>
        </w:tcPr>
        <w:p w14:paraId="4D723D89" w14:textId="5F963A92" w:rsidR="007D5727" w:rsidRDefault="007D5727" w:rsidP="007B4CC9">
          <w:pPr>
            <w:pStyle w:val="Footer"/>
            <w:spacing w:before="120"/>
          </w:pPr>
        </w:p>
      </w:tc>
      <w:tc>
        <w:tcPr>
          <w:tcW w:w="5395" w:type="dxa"/>
        </w:tcPr>
        <w:p w14:paraId="32AF8B22" w14:textId="25960876" w:rsidR="007D5727" w:rsidRDefault="002E6357" w:rsidP="007B4CC9">
          <w:pPr>
            <w:pStyle w:val="Footer"/>
            <w:spacing w:before="120"/>
            <w:jc w:val="right"/>
          </w:pPr>
          <w:sdt>
            <w:sdtPr>
              <w:rPr>
                <w:sz w:val="18"/>
                <w:szCs w:val="18"/>
              </w:rPr>
              <w:id w:val="-121549435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7D5727" w:rsidRPr="00C401D3">
                <w:rPr>
                  <w:sz w:val="18"/>
                  <w:szCs w:val="18"/>
                </w:rPr>
                <w:fldChar w:fldCharType="begin"/>
              </w:r>
              <w:r w:rsidR="007D5727" w:rsidRPr="00C401D3">
                <w:rPr>
                  <w:sz w:val="18"/>
                  <w:szCs w:val="18"/>
                </w:rPr>
                <w:instrText xml:space="preserve"> PAGE   \* MERGEFORMAT </w:instrText>
              </w:r>
              <w:r w:rsidR="007D5727" w:rsidRPr="00C401D3">
                <w:rPr>
                  <w:sz w:val="18"/>
                  <w:szCs w:val="18"/>
                </w:rPr>
                <w:fldChar w:fldCharType="separate"/>
              </w:r>
              <w:r w:rsidR="007D5727">
                <w:rPr>
                  <w:sz w:val="18"/>
                  <w:szCs w:val="18"/>
                </w:rPr>
                <w:t>6</w:t>
              </w:r>
              <w:r w:rsidR="007D5727" w:rsidRPr="00C401D3">
                <w:rPr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3D152C68" w14:textId="04A912A3" w:rsidR="007D5727" w:rsidRDefault="007D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B3A01" w14:textId="77777777" w:rsidR="00D9440C" w:rsidRDefault="00D9440C" w:rsidP="0052684C">
      <w:pPr>
        <w:spacing w:line="240" w:lineRule="auto"/>
      </w:pPr>
      <w:r>
        <w:separator/>
      </w:r>
    </w:p>
  </w:footnote>
  <w:footnote w:type="continuationSeparator" w:id="0">
    <w:p w14:paraId="7F7B4F06" w14:textId="77777777" w:rsidR="00D9440C" w:rsidRDefault="00D9440C" w:rsidP="0052684C">
      <w:pPr>
        <w:spacing w:line="240" w:lineRule="auto"/>
      </w:pPr>
      <w:r>
        <w:continuationSeparator/>
      </w:r>
    </w:p>
  </w:footnote>
  <w:footnote w:id="1">
    <w:p w14:paraId="326C1033" w14:textId="1BEA92C7" w:rsidR="007D5727" w:rsidRPr="00103551" w:rsidRDefault="007D572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03551">
        <w:rPr>
          <w:sz w:val="16"/>
          <w:szCs w:val="16"/>
        </w:rPr>
        <w:t>Engineering controls are dependent on the exposure hazard and consequences of exposure.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5964"/>
    <w:multiLevelType w:val="hybridMultilevel"/>
    <w:tmpl w:val="4C1C4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2B5"/>
    <w:multiLevelType w:val="hybridMultilevel"/>
    <w:tmpl w:val="5F06D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718FC"/>
    <w:multiLevelType w:val="hybridMultilevel"/>
    <w:tmpl w:val="E1C8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723B"/>
    <w:multiLevelType w:val="hybridMultilevel"/>
    <w:tmpl w:val="E1C8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DF5"/>
    <w:multiLevelType w:val="hybridMultilevel"/>
    <w:tmpl w:val="E8DE2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670"/>
    <w:multiLevelType w:val="hybridMultilevel"/>
    <w:tmpl w:val="B61AB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C1C6D"/>
    <w:multiLevelType w:val="hybridMultilevel"/>
    <w:tmpl w:val="7A64B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5FE0"/>
    <w:multiLevelType w:val="hybridMultilevel"/>
    <w:tmpl w:val="DCDE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382"/>
    <w:multiLevelType w:val="hybridMultilevel"/>
    <w:tmpl w:val="9DE84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621D"/>
    <w:multiLevelType w:val="hybridMultilevel"/>
    <w:tmpl w:val="E1C8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15768"/>
    <w:multiLevelType w:val="hybridMultilevel"/>
    <w:tmpl w:val="7A64B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E53A2"/>
    <w:multiLevelType w:val="hybridMultilevel"/>
    <w:tmpl w:val="4BB02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B3A3B"/>
    <w:multiLevelType w:val="hybridMultilevel"/>
    <w:tmpl w:val="E1C8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18E8"/>
    <w:multiLevelType w:val="hybridMultilevel"/>
    <w:tmpl w:val="662AB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1E4F"/>
    <w:multiLevelType w:val="hybridMultilevel"/>
    <w:tmpl w:val="35DA52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 w:themeColor="text1"/>
        <w:w w:val="100"/>
        <w:sz w:val="24"/>
        <w:szCs w:val="24"/>
        <w:lang w:val="en-US" w:eastAsia="en-US" w:bidi="en-US"/>
      </w:rPr>
    </w:lvl>
    <w:lvl w:ilvl="1" w:tplc="0409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  <w:lang w:val="en-US" w:eastAsia="en-US" w:bidi="en-US"/>
      </w:rPr>
    </w:lvl>
    <w:lvl w:ilvl="2" w:tplc="F140C5D2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B1664952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4" w:tplc="45E86018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  <w:lvl w:ilvl="5" w:tplc="0CBCDDB0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  <w:lvl w:ilvl="6" w:tplc="62EEAD2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en-US"/>
      </w:rPr>
    </w:lvl>
    <w:lvl w:ilvl="7" w:tplc="A4EA213A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  <w:lvl w:ilvl="8" w:tplc="1CBA6A88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29D6406"/>
    <w:multiLevelType w:val="hybridMultilevel"/>
    <w:tmpl w:val="0DDC3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47ABF"/>
    <w:multiLevelType w:val="hybridMultilevel"/>
    <w:tmpl w:val="4B06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1016"/>
    <w:multiLevelType w:val="hybridMultilevel"/>
    <w:tmpl w:val="AB1A7F02"/>
    <w:lvl w:ilvl="0" w:tplc="D2FA49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11A9B"/>
    <w:multiLevelType w:val="hybridMultilevel"/>
    <w:tmpl w:val="536A7CEA"/>
    <w:lvl w:ilvl="0" w:tplc="A45852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2A30"/>
    <w:multiLevelType w:val="hybridMultilevel"/>
    <w:tmpl w:val="3938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C3745"/>
    <w:multiLevelType w:val="hybridMultilevel"/>
    <w:tmpl w:val="3938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18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4C"/>
    <w:rsid w:val="0000772A"/>
    <w:rsid w:val="00043B6A"/>
    <w:rsid w:val="0005443B"/>
    <w:rsid w:val="00076E88"/>
    <w:rsid w:val="000955A6"/>
    <w:rsid w:val="000C40C6"/>
    <w:rsid w:val="001001AD"/>
    <w:rsid w:val="00103551"/>
    <w:rsid w:val="00116B04"/>
    <w:rsid w:val="00142339"/>
    <w:rsid w:val="0017352B"/>
    <w:rsid w:val="001A6F34"/>
    <w:rsid w:val="001C1F73"/>
    <w:rsid w:val="001E0AAE"/>
    <w:rsid w:val="002232DD"/>
    <w:rsid w:val="00261475"/>
    <w:rsid w:val="002A6977"/>
    <w:rsid w:val="002D343E"/>
    <w:rsid w:val="002E186D"/>
    <w:rsid w:val="002E5B1C"/>
    <w:rsid w:val="002E6357"/>
    <w:rsid w:val="00313ABB"/>
    <w:rsid w:val="00317B66"/>
    <w:rsid w:val="003218E4"/>
    <w:rsid w:val="003656C8"/>
    <w:rsid w:val="003A2315"/>
    <w:rsid w:val="003B7D80"/>
    <w:rsid w:val="003C6E5B"/>
    <w:rsid w:val="003D2B5B"/>
    <w:rsid w:val="003F7295"/>
    <w:rsid w:val="004342B8"/>
    <w:rsid w:val="00450B46"/>
    <w:rsid w:val="0046396F"/>
    <w:rsid w:val="0047269C"/>
    <w:rsid w:val="004A2B0D"/>
    <w:rsid w:val="004A51E6"/>
    <w:rsid w:val="004C2A69"/>
    <w:rsid w:val="005110EE"/>
    <w:rsid w:val="00512E57"/>
    <w:rsid w:val="0052684C"/>
    <w:rsid w:val="005316C3"/>
    <w:rsid w:val="00531913"/>
    <w:rsid w:val="00550A2A"/>
    <w:rsid w:val="0056254D"/>
    <w:rsid w:val="005A5937"/>
    <w:rsid w:val="005B1B78"/>
    <w:rsid w:val="005C60F4"/>
    <w:rsid w:val="005D6E4C"/>
    <w:rsid w:val="005F154B"/>
    <w:rsid w:val="00613BCA"/>
    <w:rsid w:val="006179AD"/>
    <w:rsid w:val="00621C59"/>
    <w:rsid w:val="0062690D"/>
    <w:rsid w:val="00647F29"/>
    <w:rsid w:val="00675B13"/>
    <w:rsid w:val="006A3CAD"/>
    <w:rsid w:val="006B5363"/>
    <w:rsid w:val="006C0111"/>
    <w:rsid w:val="006C3098"/>
    <w:rsid w:val="006E34C8"/>
    <w:rsid w:val="00737A60"/>
    <w:rsid w:val="00747D58"/>
    <w:rsid w:val="00777006"/>
    <w:rsid w:val="00787454"/>
    <w:rsid w:val="00792994"/>
    <w:rsid w:val="007A49AB"/>
    <w:rsid w:val="007B4CC9"/>
    <w:rsid w:val="007D5727"/>
    <w:rsid w:val="007D7F49"/>
    <w:rsid w:val="008031DB"/>
    <w:rsid w:val="00807E3C"/>
    <w:rsid w:val="00885B66"/>
    <w:rsid w:val="00896774"/>
    <w:rsid w:val="008A207E"/>
    <w:rsid w:val="008A3823"/>
    <w:rsid w:val="008D0DB2"/>
    <w:rsid w:val="008D1DF6"/>
    <w:rsid w:val="008F3C1A"/>
    <w:rsid w:val="00942C31"/>
    <w:rsid w:val="00991447"/>
    <w:rsid w:val="00991A10"/>
    <w:rsid w:val="009B230F"/>
    <w:rsid w:val="009D4C50"/>
    <w:rsid w:val="009E2A46"/>
    <w:rsid w:val="00A1269B"/>
    <w:rsid w:val="00A65825"/>
    <w:rsid w:val="00A71687"/>
    <w:rsid w:val="00A77A3B"/>
    <w:rsid w:val="00A9507F"/>
    <w:rsid w:val="00AC1DC5"/>
    <w:rsid w:val="00AD1F34"/>
    <w:rsid w:val="00AD3791"/>
    <w:rsid w:val="00B01DCC"/>
    <w:rsid w:val="00B12E2D"/>
    <w:rsid w:val="00B17B73"/>
    <w:rsid w:val="00B45ECE"/>
    <w:rsid w:val="00B60469"/>
    <w:rsid w:val="00B628AC"/>
    <w:rsid w:val="00BB0DB5"/>
    <w:rsid w:val="00BD6DEE"/>
    <w:rsid w:val="00BF0FAE"/>
    <w:rsid w:val="00C25762"/>
    <w:rsid w:val="00C401D3"/>
    <w:rsid w:val="00C41ADE"/>
    <w:rsid w:val="00C50210"/>
    <w:rsid w:val="00C509D3"/>
    <w:rsid w:val="00C621EA"/>
    <w:rsid w:val="00C67E8D"/>
    <w:rsid w:val="00C704EA"/>
    <w:rsid w:val="00C9622B"/>
    <w:rsid w:val="00CD68A1"/>
    <w:rsid w:val="00CE366E"/>
    <w:rsid w:val="00CF1E7B"/>
    <w:rsid w:val="00CF29E6"/>
    <w:rsid w:val="00D11C73"/>
    <w:rsid w:val="00D70AE8"/>
    <w:rsid w:val="00D81C84"/>
    <w:rsid w:val="00D9440C"/>
    <w:rsid w:val="00E349D0"/>
    <w:rsid w:val="00E80FA0"/>
    <w:rsid w:val="00E8147B"/>
    <w:rsid w:val="00EE3E00"/>
    <w:rsid w:val="00F1717B"/>
    <w:rsid w:val="00F35F25"/>
    <w:rsid w:val="00F44257"/>
    <w:rsid w:val="00F64D0E"/>
    <w:rsid w:val="00FC7415"/>
    <w:rsid w:val="00FD6D0C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D3CC1"/>
  <w15:chartTrackingRefBased/>
  <w15:docId w15:val="{98E2C883-D18D-4BB8-A4AE-39647E2F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84C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6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4C"/>
  </w:style>
  <w:style w:type="paragraph" w:styleId="Footer">
    <w:name w:val="footer"/>
    <w:basedOn w:val="Normal"/>
    <w:link w:val="FooterChar"/>
    <w:uiPriority w:val="99"/>
    <w:unhideWhenUsed/>
    <w:rsid w:val="00526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4C"/>
  </w:style>
  <w:style w:type="paragraph" w:styleId="ListParagraph">
    <w:name w:val="List Paragraph"/>
    <w:basedOn w:val="Normal"/>
    <w:uiPriority w:val="34"/>
    <w:qFormat/>
    <w:rsid w:val="0052684C"/>
    <w:pPr>
      <w:spacing w:after="200"/>
      <w:ind w:left="720"/>
      <w:contextualSpacing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55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5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9046-5D6B-4918-BE70-F96DCA2A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Terrie S.</dc:creator>
  <cp:keywords/>
  <dc:description/>
  <cp:lastModifiedBy>Pon, Holly</cp:lastModifiedBy>
  <cp:revision>2</cp:revision>
  <cp:lastPrinted>2020-09-16T15:58:00Z</cp:lastPrinted>
  <dcterms:created xsi:type="dcterms:W3CDTF">2021-03-12T01:13:00Z</dcterms:created>
  <dcterms:modified xsi:type="dcterms:W3CDTF">2021-03-12T01:13:00Z</dcterms:modified>
</cp:coreProperties>
</file>